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250"/>
        <w:gridCol w:w="908"/>
        <w:gridCol w:w="5763"/>
      </w:tblGrid>
      <w:tr w:rsidR="003507F7" w14:paraId="04F12D0A" w14:textId="77777777">
        <w:trPr>
          <w:trHeight w:val="670"/>
          <w:jc w:val="center"/>
        </w:trPr>
        <w:tc>
          <w:tcPr>
            <w:tcW w:w="352" w:type="pct"/>
            <w:vAlign w:val="center"/>
          </w:tcPr>
          <w:p w14:paraId="5D106CF0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序号</w:t>
            </w:r>
          </w:p>
        </w:tc>
        <w:tc>
          <w:tcPr>
            <w:tcW w:w="733" w:type="pct"/>
            <w:vAlign w:val="center"/>
          </w:tcPr>
          <w:p w14:paraId="73B07B98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评审因素</w:t>
            </w:r>
          </w:p>
        </w:tc>
        <w:tc>
          <w:tcPr>
            <w:tcW w:w="533" w:type="pct"/>
            <w:vAlign w:val="center"/>
          </w:tcPr>
          <w:p w14:paraId="698559EF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分值</w:t>
            </w:r>
          </w:p>
        </w:tc>
        <w:tc>
          <w:tcPr>
            <w:tcW w:w="3380" w:type="pct"/>
            <w:vAlign w:val="center"/>
          </w:tcPr>
          <w:p w14:paraId="39BEF6CD" w14:textId="4128E611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评分标准（总分</w:t>
            </w:r>
            <w:r w:rsidR="00146902">
              <w:rPr>
                <w:rFonts w:ascii="Times New Roman" w:hAnsi="Times New Roman" w:cs="宋体" w:hint="eastAsia"/>
                <w:bCs/>
                <w:sz w:val="24"/>
              </w:rPr>
              <w:t>45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分）</w:t>
            </w:r>
          </w:p>
        </w:tc>
      </w:tr>
      <w:tr w:rsidR="003507F7" w14:paraId="5455808E" w14:textId="77777777">
        <w:trPr>
          <w:trHeight w:val="1921"/>
          <w:jc w:val="center"/>
        </w:trPr>
        <w:tc>
          <w:tcPr>
            <w:tcW w:w="352" w:type="pct"/>
            <w:vAlign w:val="center"/>
          </w:tcPr>
          <w:p w14:paraId="306837D0" w14:textId="77777777" w:rsidR="003507F7" w:rsidRDefault="003D5C6F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33" w:type="pct"/>
            <w:vAlign w:val="center"/>
          </w:tcPr>
          <w:p w14:paraId="5419290C" w14:textId="77777777" w:rsidR="003507F7" w:rsidRDefault="003D5C6F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价格部分</w:t>
            </w:r>
          </w:p>
        </w:tc>
        <w:tc>
          <w:tcPr>
            <w:tcW w:w="533" w:type="pct"/>
            <w:vAlign w:val="center"/>
          </w:tcPr>
          <w:p w14:paraId="36A7A857" w14:textId="631F672C" w:rsidR="003507F7" w:rsidRDefault="003D5C6F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分</w:t>
            </w:r>
          </w:p>
        </w:tc>
        <w:tc>
          <w:tcPr>
            <w:tcW w:w="3380" w:type="pct"/>
            <w:vAlign w:val="center"/>
          </w:tcPr>
          <w:p w14:paraId="5AAF223B" w14:textId="29AAAC72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价格分采用低价优先法计算，即满足公告要求且价格最低的最后报价为评审基准价，其价格分为满分</w:t>
            </w:r>
            <w:r w:rsidR="00146902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  <w:p w14:paraId="2E381F09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价格分统一按下列公式计算：</w:t>
            </w:r>
          </w:p>
          <w:p w14:paraId="59153A4F" w14:textId="14F00B31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评审报价得分=（评标基准价/评审报价）×</w:t>
            </w:r>
            <w:r w:rsidR="00146902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分</w:t>
            </w:r>
          </w:p>
          <w:p w14:paraId="6CA59EDD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eastAsia="宋体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highlight w:val="yellow"/>
              </w:rPr>
              <w:t>评审报价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highlight w:val="yellow"/>
              </w:rPr>
              <w:t>=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highlight w:val="yellow"/>
              </w:rPr>
              <w:t>八项检测试剂每人份报价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highlight w:val="yellow"/>
              </w:rPr>
              <w:t>+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highlight w:val="yellow"/>
              </w:rPr>
              <w:t>十二项检测试剂每人份报价</w:t>
            </w:r>
          </w:p>
        </w:tc>
      </w:tr>
      <w:tr w:rsidR="003507F7" w14:paraId="1DD9A043" w14:textId="77777777">
        <w:trPr>
          <w:trHeight w:val="5408"/>
          <w:jc w:val="center"/>
        </w:trPr>
        <w:tc>
          <w:tcPr>
            <w:tcW w:w="352" w:type="pct"/>
            <w:vAlign w:val="center"/>
          </w:tcPr>
          <w:p w14:paraId="423C6DA4" w14:textId="77777777" w:rsidR="003507F7" w:rsidRDefault="003D5C6F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33" w:type="pct"/>
            <w:vAlign w:val="center"/>
          </w:tcPr>
          <w:p w14:paraId="4B123444" w14:textId="77777777" w:rsidR="003507F7" w:rsidRDefault="003D5C6F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技术部分</w:t>
            </w:r>
          </w:p>
        </w:tc>
        <w:tc>
          <w:tcPr>
            <w:tcW w:w="533" w:type="pct"/>
            <w:vAlign w:val="center"/>
          </w:tcPr>
          <w:p w14:paraId="4A6A7D66" w14:textId="77777777" w:rsidR="003507F7" w:rsidRDefault="003D5C6F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分</w:t>
            </w:r>
          </w:p>
        </w:tc>
        <w:tc>
          <w:tcPr>
            <w:tcW w:w="3380" w:type="pct"/>
            <w:vAlign w:val="center"/>
          </w:tcPr>
          <w:p w14:paraId="7014FB12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1.同时具备联检及单检试剂盒（提供单项报价，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合计不得高于联检试剂</w:t>
            </w:r>
            <w:r>
              <w:rPr>
                <w:rFonts w:ascii="宋体" w:eastAsia="宋体" w:hAnsi="宋体" w:cs="宋体" w:hint="eastAsia"/>
                <w:sz w:val="24"/>
              </w:rPr>
              <w:t>），提供书面依据，满足得10分，没有不得分。</w:t>
            </w:r>
          </w:p>
          <w:p w14:paraId="472F36B6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2.实验操作时间≤2小时，提供书面依据，满足得10分，没有不得分。</w:t>
            </w:r>
          </w:p>
          <w:p w14:paraId="02F54DD1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3.便于洗涤，捕获微球为磁性微球，提供书面依据，满足得5分，没有不得分。</w:t>
            </w:r>
          </w:p>
          <w:p w14:paraId="1D469E18" w14:textId="77777777" w:rsidR="003507F7" w:rsidRDefault="003D5C6F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4.考核项目在国家卫健委临床检验中心室间质评网上有单独分组（提供国家卫健委临床检验中心室间质评结果反馈表予以佐证），满足得5分，没有不得分。</w:t>
            </w:r>
          </w:p>
        </w:tc>
      </w:tr>
    </w:tbl>
    <w:p w14:paraId="5EDCCA5C" w14:textId="77777777" w:rsidR="003507F7" w:rsidRDefault="003507F7"/>
    <w:sectPr w:rsidR="0035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0315" w14:textId="77777777" w:rsidR="003D5C6F" w:rsidRDefault="003D5C6F" w:rsidP="003D5C6F">
      <w:r>
        <w:separator/>
      </w:r>
    </w:p>
  </w:endnote>
  <w:endnote w:type="continuationSeparator" w:id="0">
    <w:p w14:paraId="2FA2A3DA" w14:textId="77777777" w:rsidR="003D5C6F" w:rsidRDefault="003D5C6F" w:rsidP="003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D467" w14:textId="77777777" w:rsidR="003D5C6F" w:rsidRDefault="003D5C6F" w:rsidP="003D5C6F">
      <w:r>
        <w:separator/>
      </w:r>
    </w:p>
  </w:footnote>
  <w:footnote w:type="continuationSeparator" w:id="0">
    <w:p w14:paraId="6F2E0B58" w14:textId="77777777" w:rsidR="003D5C6F" w:rsidRDefault="003D5C6F" w:rsidP="003D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7F7"/>
    <w:rsid w:val="00146902"/>
    <w:rsid w:val="003507F7"/>
    <w:rsid w:val="003D5C6F"/>
    <w:rsid w:val="00576541"/>
    <w:rsid w:val="006478B2"/>
    <w:rsid w:val="0FC30312"/>
    <w:rsid w:val="1FED04CB"/>
    <w:rsid w:val="2C8000D6"/>
    <w:rsid w:val="48D63785"/>
    <w:rsid w:val="4DF647BE"/>
    <w:rsid w:val="4E1F30B8"/>
    <w:rsid w:val="4F353CB1"/>
    <w:rsid w:val="609B59DA"/>
    <w:rsid w:val="6D325BE1"/>
    <w:rsid w:val="70C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D9655"/>
  <w15:docId w15:val="{A0CE37B4-55B1-4120-9BF6-17CD0BB4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宋体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3">
    <w:name w:val="样式3"/>
    <w:basedOn w:val="a3"/>
    <w:qFormat/>
    <w:pPr>
      <w:spacing w:line="0" w:lineRule="atLeast"/>
      <w:outlineLvl w:val="0"/>
    </w:pPr>
    <w:rPr>
      <w:sz w:val="28"/>
      <w:szCs w:val="20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rsid w:val="003D5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D5C6F"/>
    <w:rPr>
      <w:kern w:val="2"/>
      <w:sz w:val="18"/>
      <w:szCs w:val="18"/>
    </w:rPr>
  </w:style>
  <w:style w:type="paragraph" w:styleId="a7">
    <w:name w:val="footer"/>
    <w:basedOn w:val="a"/>
    <w:link w:val="a8"/>
    <w:rsid w:val="003D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D5C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zhoujn</dc:creator>
  <cp:lastModifiedBy>刘飞 林</cp:lastModifiedBy>
  <cp:revision>3</cp:revision>
  <dcterms:created xsi:type="dcterms:W3CDTF">2025-07-14T12:56:00Z</dcterms:created>
  <dcterms:modified xsi:type="dcterms:W3CDTF">2025-08-05T09:47:00Z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eyJoZGlkIjoiNmI5MDQwZmU5ZWUyY2YyOWY5YTFmZDIyMzRkYzFhMGMiLCJ1c2VySWQiOiI0NDUxMDU0OTUifQ==</vt:lpwstr>
  </property>
  <property fmtid="{D5CDD505-2E9C-101B-9397-08002B2CF9AE}" pid="4" name="ICV">
    <vt:lpwstr>211124D90D364584AE37B57BF32E35A9_12</vt:lpwstr>
  </property>
</Properties>
</file>