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0"/>
        <w:gridCol w:w="1250"/>
        <w:gridCol w:w="909"/>
        <w:gridCol w:w="5763"/>
      </w:tblGrid>
      <w:tr w14:paraId="04F12D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352" w:type="pct"/>
            <w:noWrap w:val="0"/>
            <w:vAlign w:val="center"/>
          </w:tcPr>
          <w:p w14:paraId="5D106CF0">
            <w:pPr>
              <w:pStyle w:val="6"/>
              <w:adjustRightInd w:val="0"/>
              <w:snapToGrid w:val="0"/>
              <w:spacing w:line="280" w:lineRule="exact"/>
              <w:ind w:firstLine="0" w:firstLineChars="0"/>
              <w:jc w:val="center"/>
              <w:rPr>
                <w:rFonts w:hint="eastAsia" w:ascii="Times New Roman" w:hAnsi="Times New Roman" w:cs="宋体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bCs/>
                <w:sz w:val="24"/>
                <w:szCs w:val="24"/>
              </w:rPr>
              <w:t>序号</w:t>
            </w:r>
          </w:p>
        </w:tc>
        <w:tc>
          <w:tcPr>
            <w:tcW w:w="733" w:type="pct"/>
            <w:noWrap w:val="0"/>
            <w:vAlign w:val="center"/>
          </w:tcPr>
          <w:p w14:paraId="73B07B98">
            <w:pPr>
              <w:pStyle w:val="6"/>
              <w:adjustRightInd w:val="0"/>
              <w:snapToGrid w:val="0"/>
              <w:spacing w:line="280" w:lineRule="exact"/>
              <w:ind w:firstLine="0" w:firstLineChars="0"/>
              <w:jc w:val="center"/>
              <w:rPr>
                <w:rFonts w:hint="eastAsia" w:ascii="Times New Roman" w:hAnsi="Times New Roman" w:cs="宋体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bCs/>
                <w:sz w:val="24"/>
                <w:szCs w:val="24"/>
                <w:lang w:val="en-US" w:eastAsia="zh-CN"/>
              </w:rPr>
              <w:t>评审</w:t>
            </w:r>
            <w:r>
              <w:rPr>
                <w:rFonts w:hint="eastAsia" w:ascii="Times New Roman" w:hAnsi="Times New Roman" w:cs="宋体"/>
                <w:bCs/>
                <w:sz w:val="24"/>
                <w:szCs w:val="24"/>
              </w:rPr>
              <w:t>因素</w:t>
            </w:r>
          </w:p>
        </w:tc>
        <w:tc>
          <w:tcPr>
            <w:tcW w:w="533" w:type="pct"/>
            <w:noWrap w:val="0"/>
            <w:vAlign w:val="center"/>
          </w:tcPr>
          <w:p w14:paraId="698559EF">
            <w:pPr>
              <w:pStyle w:val="6"/>
              <w:adjustRightInd w:val="0"/>
              <w:snapToGrid w:val="0"/>
              <w:spacing w:line="280" w:lineRule="exact"/>
              <w:ind w:firstLine="0" w:firstLineChars="0"/>
              <w:jc w:val="center"/>
              <w:rPr>
                <w:rFonts w:hint="eastAsia" w:ascii="Times New Roman" w:hAnsi="Times New Roman" w:cs="宋体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bCs/>
                <w:sz w:val="24"/>
                <w:szCs w:val="24"/>
              </w:rPr>
              <w:t>分值</w:t>
            </w:r>
          </w:p>
        </w:tc>
        <w:tc>
          <w:tcPr>
            <w:tcW w:w="3380" w:type="pct"/>
            <w:noWrap w:val="0"/>
            <w:vAlign w:val="center"/>
          </w:tcPr>
          <w:p w14:paraId="39BEF6CD">
            <w:pPr>
              <w:pStyle w:val="6"/>
              <w:adjustRightInd w:val="0"/>
              <w:snapToGrid w:val="0"/>
              <w:spacing w:line="280" w:lineRule="exact"/>
              <w:ind w:firstLine="0" w:firstLineChars="0"/>
              <w:jc w:val="center"/>
              <w:rPr>
                <w:rFonts w:hint="default" w:ascii="Times New Roman" w:hAnsi="Times New Roman" w:cs="宋体" w:eastAsiaTheme="minor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宋体"/>
                <w:bCs/>
                <w:sz w:val="24"/>
                <w:szCs w:val="24"/>
              </w:rPr>
              <w:t>评</w:t>
            </w:r>
            <w:r>
              <w:rPr>
                <w:rFonts w:hint="eastAsia" w:ascii="Times New Roman" w:hAnsi="Times New Roman" w:cs="宋体"/>
                <w:bCs/>
                <w:sz w:val="24"/>
                <w:szCs w:val="24"/>
                <w:lang w:val="en-US" w:eastAsia="zh-CN"/>
              </w:rPr>
              <w:t>分</w:t>
            </w:r>
            <w:r>
              <w:rPr>
                <w:rFonts w:hint="eastAsia" w:ascii="Times New Roman" w:hAnsi="Times New Roman" w:cs="宋体"/>
                <w:bCs/>
                <w:sz w:val="24"/>
                <w:szCs w:val="24"/>
              </w:rPr>
              <w:t>标准</w:t>
            </w:r>
            <w:r>
              <w:rPr>
                <w:rFonts w:hint="eastAsia" w:ascii="Times New Roman" w:hAnsi="Times New Roman" w:cs="宋体"/>
                <w:bCs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Times New Roman" w:hAnsi="Times New Roman" w:cs="宋体"/>
                <w:bCs/>
                <w:sz w:val="24"/>
                <w:szCs w:val="24"/>
                <w:lang w:val="en-US" w:eastAsia="zh-CN"/>
              </w:rPr>
              <w:t>总分45分）</w:t>
            </w:r>
          </w:p>
        </w:tc>
      </w:tr>
      <w:tr w14:paraId="545580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3" w:hRule="atLeast"/>
          <w:jc w:val="center"/>
        </w:trPr>
        <w:tc>
          <w:tcPr>
            <w:tcW w:w="352" w:type="pct"/>
            <w:noWrap w:val="0"/>
            <w:vAlign w:val="center"/>
          </w:tcPr>
          <w:p w14:paraId="306837D0">
            <w:pPr>
              <w:pStyle w:val="6"/>
              <w:adjustRightInd w:val="0"/>
              <w:snapToGrid w:val="0"/>
              <w:spacing w:after="200" w:line="280" w:lineRule="exact"/>
              <w:ind w:firstLine="0" w:firstLineChars="0"/>
              <w:jc w:val="center"/>
              <w:rPr>
                <w:rFonts w:hint="eastAsia"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733" w:type="pct"/>
            <w:noWrap w:val="0"/>
            <w:vAlign w:val="center"/>
          </w:tcPr>
          <w:p w14:paraId="5419290C">
            <w:pPr>
              <w:pStyle w:val="6"/>
              <w:adjustRightInd w:val="0"/>
              <w:snapToGrid w:val="0"/>
              <w:spacing w:after="200" w:line="280" w:lineRule="exact"/>
              <w:ind w:firstLine="0" w:firstLineChars="0"/>
              <w:rPr>
                <w:rFonts w:hint="eastAsia" w:ascii="Times New Roman" w:hAnsi="Times New Roman" w:cs="宋体" w:eastAsiaTheme="minor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价格</w:t>
            </w:r>
            <w:r>
              <w:rPr>
                <w:rFonts w:hint="eastAsia" w:ascii="Times New Roman" w:hAnsi="Times New Roman" w:cs="宋体"/>
                <w:kern w:val="0"/>
                <w:sz w:val="24"/>
                <w:szCs w:val="24"/>
                <w:lang w:val="en-US" w:eastAsia="zh-CN"/>
              </w:rPr>
              <w:t>部分</w:t>
            </w:r>
          </w:p>
        </w:tc>
        <w:tc>
          <w:tcPr>
            <w:tcW w:w="533" w:type="pct"/>
            <w:noWrap w:val="0"/>
            <w:vAlign w:val="center"/>
          </w:tcPr>
          <w:p w14:paraId="36A7A857">
            <w:pPr>
              <w:pStyle w:val="6"/>
              <w:adjustRightInd w:val="0"/>
              <w:snapToGrid w:val="0"/>
              <w:spacing w:after="200" w:line="280" w:lineRule="exact"/>
              <w:ind w:firstLine="0" w:firstLineChars="0"/>
              <w:jc w:val="center"/>
              <w:rPr>
                <w:rFonts w:hint="eastAsia"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  <w:lang w:val="en-US" w:eastAsia="zh-CN"/>
              </w:rPr>
              <w:t>15</w:t>
            </w: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分</w:t>
            </w:r>
          </w:p>
        </w:tc>
        <w:tc>
          <w:tcPr>
            <w:tcW w:w="3380" w:type="pct"/>
            <w:noWrap w:val="0"/>
            <w:vAlign w:val="center"/>
          </w:tcPr>
          <w:p w14:paraId="5AAF223B">
            <w:pPr>
              <w:pStyle w:val="6"/>
              <w:adjustRightInd w:val="0"/>
              <w:snapToGrid w:val="0"/>
              <w:spacing w:line="280" w:lineRule="exact"/>
              <w:ind w:left="0" w:leftChars="0" w:firstLine="0" w:firstLineChars="0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  <w:t>价格分采用低价优先法计算，即满足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  <w:t>公告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  <w:t>要求且价格最低的最后报价为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  <w:t>评审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  <w:t>基准价，其价格分为满分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  <w:t>15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  <w:t>分。</w:t>
            </w:r>
          </w:p>
          <w:p w14:paraId="290CECCA">
            <w:pPr>
              <w:pStyle w:val="6"/>
              <w:adjustRightInd w:val="0"/>
              <w:snapToGrid w:val="0"/>
              <w:spacing w:line="280" w:lineRule="exact"/>
              <w:ind w:left="0" w:leftChars="0" w:firstLine="0" w:firstLineChars="0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  <w:t>价格分统一按下列公式计算：</w:t>
            </w:r>
          </w:p>
          <w:p w14:paraId="72BD35F3">
            <w:pPr>
              <w:pStyle w:val="6"/>
              <w:adjustRightInd w:val="0"/>
              <w:snapToGrid w:val="0"/>
              <w:spacing w:line="280" w:lineRule="exact"/>
              <w:ind w:firstLine="0" w:firstLineChars="0"/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1"/>
                <w:szCs w:val="21"/>
                <w:lang w:val="en-US" w:eastAsia="zh-CN"/>
              </w:rPr>
              <w:t>评审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1"/>
                <w:szCs w:val="21"/>
              </w:rPr>
              <w:t>报价得分=（评标基准价/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1"/>
                <w:szCs w:val="21"/>
                <w:lang w:val="en-US" w:eastAsia="zh-CN"/>
              </w:rPr>
              <w:t>评审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1"/>
                <w:szCs w:val="21"/>
              </w:rPr>
              <w:t>报价）×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1"/>
                <w:szCs w:val="21"/>
                <w:lang w:val="en-US" w:eastAsia="zh-CN"/>
              </w:rPr>
              <w:t>15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1"/>
                <w:szCs w:val="21"/>
              </w:rPr>
              <w:t>分</w:t>
            </w:r>
          </w:p>
          <w:p w14:paraId="23942244">
            <w:pPr>
              <w:pStyle w:val="6"/>
              <w:adjustRightInd w:val="0"/>
              <w:snapToGrid w:val="0"/>
              <w:spacing w:line="280" w:lineRule="exact"/>
              <w:ind w:firstLine="0" w:firstLineChars="0"/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1"/>
                <w:szCs w:val="21"/>
                <w:highlight w:val="yellow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1"/>
                <w:szCs w:val="21"/>
                <w:highlight w:val="yellow"/>
                <w:lang w:val="en-US" w:eastAsia="zh-CN"/>
              </w:rPr>
              <w:t>评审报价=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highlight w:val="yellow"/>
                <w:vertAlign w:val="baseline"/>
                <w:lang w:val="en-US" w:eastAsia="zh-CN"/>
              </w:rPr>
              <w:t>程序性死亡蛋白-1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1"/>
                <w:szCs w:val="21"/>
                <w:highlight w:val="yellow"/>
                <w:lang w:val="en-US" w:eastAsia="zh-CN"/>
              </w:rPr>
              <w:t>检测试剂每人份报价+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highlight w:val="yellow"/>
                <w:vertAlign w:val="baseline"/>
                <w:lang w:val="en-US" w:eastAsia="zh-CN"/>
              </w:rPr>
              <w:t>调节性T细胞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1"/>
                <w:szCs w:val="21"/>
                <w:highlight w:val="yellow"/>
                <w:lang w:val="en-US" w:eastAsia="zh-CN"/>
              </w:rPr>
              <w:t>检测试剂每人份报价</w:t>
            </w:r>
          </w:p>
          <w:p w14:paraId="6CA59EDD">
            <w:pPr>
              <w:pStyle w:val="6"/>
              <w:adjustRightInd w:val="0"/>
              <w:snapToGrid w:val="0"/>
              <w:spacing w:line="280" w:lineRule="exact"/>
              <w:ind w:left="0" w:leftChars="0" w:firstLine="0" w:firstLineChars="0"/>
              <w:rPr>
                <w:rFonts w:hint="default" w:ascii="Times New Roman" w:hAnsi="Times New Roman" w:eastAsia="宋体" w:cs="宋体"/>
                <w:b/>
                <w:bCs/>
                <w:kern w:val="0"/>
                <w:sz w:val="24"/>
                <w:lang w:val="en-US" w:eastAsia="zh-CN"/>
              </w:rPr>
            </w:pPr>
          </w:p>
        </w:tc>
      </w:tr>
      <w:tr w14:paraId="1DD9A0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0" w:hRule="atLeast"/>
          <w:jc w:val="center"/>
        </w:trPr>
        <w:tc>
          <w:tcPr>
            <w:tcW w:w="352" w:type="pct"/>
            <w:noWrap w:val="0"/>
            <w:vAlign w:val="center"/>
          </w:tcPr>
          <w:p w14:paraId="423C6DA4">
            <w:pPr>
              <w:pStyle w:val="6"/>
              <w:adjustRightInd w:val="0"/>
              <w:snapToGrid w:val="0"/>
              <w:spacing w:after="200" w:line="280" w:lineRule="exact"/>
              <w:ind w:firstLine="0" w:firstLineChars="0"/>
              <w:jc w:val="center"/>
              <w:rPr>
                <w:rFonts w:hint="eastAsia"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733" w:type="pct"/>
            <w:noWrap w:val="0"/>
            <w:vAlign w:val="center"/>
          </w:tcPr>
          <w:p w14:paraId="4B123444">
            <w:pPr>
              <w:pStyle w:val="6"/>
              <w:adjustRightInd w:val="0"/>
              <w:snapToGrid w:val="0"/>
              <w:spacing w:after="200" w:line="280" w:lineRule="exact"/>
              <w:ind w:firstLine="0" w:firstLineChars="0"/>
              <w:jc w:val="center"/>
              <w:rPr>
                <w:rFonts w:hint="eastAsia" w:ascii="Times New Roman" w:hAnsi="Times New Roman" w:cs="宋体" w:eastAsiaTheme="minor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技术</w:t>
            </w:r>
            <w:r>
              <w:rPr>
                <w:rFonts w:hint="eastAsia" w:ascii="Times New Roman" w:hAnsi="Times New Roman" w:cs="宋体"/>
                <w:kern w:val="0"/>
                <w:sz w:val="24"/>
                <w:szCs w:val="24"/>
                <w:lang w:val="en-US" w:eastAsia="zh-CN"/>
              </w:rPr>
              <w:t>部分</w:t>
            </w:r>
          </w:p>
        </w:tc>
        <w:tc>
          <w:tcPr>
            <w:tcW w:w="533" w:type="pct"/>
            <w:noWrap w:val="0"/>
            <w:vAlign w:val="center"/>
          </w:tcPr>
          <w:p w14:paraId="4A6A7D66">
            <w:pPr>
              <w:pStyle w:val="6"/>
              <w:adjustRightInd w:val="0"/>
              <w:snapToGrid w:val="0"/>
              <w:spacing w:after="200" w:line="280" w:lineRule="exact"/>
              <w:ind w:firstLine="0" w:firstLineChars="0"/>
              <w:jc w:val="center"/>
              <w:rPr>
                <w:rFonts w:hint="eastAsia"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  <w:lang w:val="en-US" w:eastAsia="zh-CN"/>
              </w:rPr>
              <w:t>30</w:t>
            </w: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分</w:t>
            </w:r>
          </w:p>
        </w:tc>
        <w:tc>
          <w:tcPr>
            <w:tcW w:w="3380" w:type="pct"/>
            <w:noWrap w:val="0"/>
            <w:vAlign w:val="center"/>
          </w:tcPr>
          <w:p w14:paraId="2B79D8AF">
            <w:pPr>
              <w:numPr>
                <w:ilvl w:val="0"/>
                <w:numId w:val="0"/>
              </w:numPr>
              <w:jc w:val="left"/>
              <w:rPr>
                <w:rFonts w:hint="default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1.</w:t>
            </w: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程序性死亡蛋白-1(CD3/CD4/CD8/CD45/PD-1)及调节性T细胞（CD25/CD4/CD127）检测主</w:t>
            </w:r>
            <w:r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试剂盒有效期≥18</w:t>
            </w:r>
            <w:bookmarkStart w:id="0" w:name="_GoBack"/>
            <w:bookmarkEnd w:id="0"/>
            <w:r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个月，试剂开瓶有效期≥3个月，提供书面依据 ，满足得10分，没有不得分。</w:t>
            </w:r>
          </w:p>
          <w:p w14:paraId="148D2A89">
            <w:pPr>
              <w:numPr>
                <w:ilvl w:val="0"/>
                <w:numId w:val="0"/>
              </w:numPr>
              <w:jc w:val="left"/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2.随上述主试剂提供符合质控要求，且具备医疗器械注册或备案证的同品牌质控品</w:t>
            </w:r>
            <w:r>
              <w:rPr>
                <w:rFonts w:hint="eastAsia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  <w:t>（成本计入主试剂报价）</w:t>
            </w:r>
            <w:r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。质控品有效期≥1年，提供书面依据，满足得10分，没有不得分。</w:t>
            </w:r>
          </w:p>
          <w:p w14:paraId="2C13D750">
            <w:pPr>
              <w:numPr>
                <w:ilvl w:val="0"/>
                <w:numId w:val="0"/>
              </w:numPr>
              <w:jc w:val="left"/>
              <w:rPr>
                <w:rFonts w:hint="eastAsia" w:ascii="Times New Roman" w:hAnsi="Times New Roman" w:cs="宋体"/>
                <w:kern w:val="0"/>
                <w:sz w:val="24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3.考核项目在国家卫健委临床检验中心室间质评网上有单独分组（提供国家卫健委临床检验中心室间质评结果反馈表予以佐证），满足得10分，没有不得分。</w:t>
            </w:r>
          </w:p>
        </w:tc>
      </w:tr>
    </w:tbl>
    <w:p w14:paraId="5EDCCA5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F5BD7"/>
    <w:rsid w:val="05892454"/>
    <w:rsid w:val="12331A92"/>
    <w:rsid w:val="201A1609"/>
    <w:rsid w:val="229239D0"/>
    <w:rsid w:val="238E20BE"/>
    <w:rsid w:val="246F652F"/>
    <w:rsid w:val="499107A9"/>
    <w:rsid w:val="644878DB"/>
    <w:rsid w:val="68214DCD"/>
    <w:rsid w:val="6CE40452"/>
    <w:rsid w:val="6D325BE1"/>
    <w:rsid w:val="75017BA7"/>
    <w:rsid w:val="75226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宋体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列出段落1"/>
    <w:basedOn w:val="1"/>
    <w:qFormat/>
    <w:uiPriority w:val="99"/>
    <w:pPr>
      <w:ind w:firstLine="420" w:firstLineChars="200"/>
    </w:pPr>
    <w:rPr>
      <w:rFonts w:ascii="Calibri" w:hAnsi="Calibri"/>
    </w:rPr>
  </w:style>
  <w:style w:type="paragraph" w:customStyle="1" w:styleId="7">
    <w:name w:val="样式3"/>
    <w:basedOn w:val="2"/>
    <w:qFormat/>
    <w:uiPriority w:val="0"/>
    <w:pPr>
      <w:spacing w:line="0" w:lineRule="atLeast"/>
      <w:outlineLvl w:val="0"/>
    </w:pPr>
    <w:rPr>
      <w:sz w:val="28"/>
      <w:szCs w:val="20"/>
    </w:rPr>
  </w:style>
  <w:style w:type="paragraph" w:styleId="8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393</Words>
  <Characters>441</Characters>
  <Lines>0</Lines>
  <Paragraphs>0</Paragraphs>
  <TotalTime>2</TotalTime>
  <ScaleCrop>false</ScaleCrop>
  <LinksUpToDate>false</LinksUpToDate>
  <CharactersWithSpaces>442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2025-07-14T12:56:00Z</dcterms:created>
  <dc:creator>zhoujn</dc:creator>
  <cp:lastModifiedBy>Starmien</cp:lastModifiedBy>
  <dcterms:modified xsi:type="dcterms:W3CDTF">2025-08-01T02:12:07Z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KSOTemplateDocerSaveRecord">
    <vt:lpwstr>eyJoZGlkIjoiNmI5MDQwZmU5ZWUyY2YyOWY5YTFmZDIyMzRkYzFhMGMiLCJ1c2VySWQiOiI0NDUxMDU0OTUifQ==</vt:lpwstr>
  </property>
  <property fmtid="{D5CDD505-2E9C-101B-9397-08002B2CF9AE}" pid="4" name="ICV">
    <vt:lpwstr>211124D90D364584AE37B57BF32E35A9_12</vt:lpwstr>
  </property>
</Properties>
</file>