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82EDE9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南昌市人民医院</w:t>
      </w:r>
      <w:r>
        <w:rPr>
          <w:rFonts w:hint="eastAsia"/>
          <w:b/>
          <w:bCs/>
          <w:sz w:val="36"/>
          <w:szCs w:val="36"/>
        </w:rPr>
        <w:t>GE磁共振冷头维修</w:t>
      </w:r>
      <w:r>
        <w:rPr>
          <w:b/>
          <w:bCs/>
          <w:sz w:val="36"/>
          <w:szCs w:val="36"/>
        </w:rPr>
        <w:t>服务</w:t>
      </w:r>
    </w:p>
    <w:p w14:paraId="3859A919">
      <w:pPr>
        <w:jc w:val="center"/>
        <w:rPr>
          <w:rFonts w:hint="default" w:eastAsiaTheme="minor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院内比选评审标准</w:t>
      </w:r>
    </w:p>
    <w:p w14:paraId="18CDB517">
      <w:pPr>
        <w:numPr>
          <w:ilvl w:val="0"/>
          <w:numId w:val="0"/>
        </w:numPr>
        <w:spacing w:line="460" w:lineRule="exact"/>
        <w:ind w:firstLine="600" w:firstLineChars="200"/>
        <w:textAlignment w:val="center"/>
        <w:rPr>
          <w:rFonts w:hint="eastAsia" w:ascii="宋体" w:hAnsi="宋体" w:eastAsia="宋体" w:cs="宋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本项目采用综合评分法（由价格、技术、商务三部分组成，总分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30</w:t>
      </w:r>
      <w:r>
        <w:rPr>
          <w:rFonts w:hint="eastAsia" w:ascii="宋体" w:hAnsi="宋体" w:eastAsia="宋体" w:cs="宋体"/>
          <w:color w:val="auto"/>
          <w:sz w:val="30"/>
          <w:szCs w:val="30"/>
        </w:rPr>
        <w:t>分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），由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评审专家组</w:t>
      </w:r>
      <w:r>
        <w:rPr>
          <w:rFonts w:hint="eastAsia" w:ascii="宋体" w:hAnsi="宋体" w:eastAsia="宋体" w:cs="宋体"/>
          <w:color w:val="000000" w:themeColor="text1"/>
          <w:sz w:val="30"/>
          <w:szCs w:val="30"/>
          <w14:textFill>
            <w14:solidFill>
              <w14:schemeClr w14:val="tx1"/>
            </w14:solidFill>
          </w14:textFill>
        </w:rPr>
        <w:t>按照以下评审内容，对资格性和符合性审查合格的投标文件进行价格、技术和商务综合比较与评价。</w:t>
      </w:r>
    </w:p>
    <w:tbl>
      <w:tblPr>
        <w:tblStyle w:val="15"/>
        <w:tblW w:w="558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1"/>
        <w:gridCol w:w="7550"/>
        <w:gridCol w:w="750"/>
      </w:tblGrid>
      <w:tr w14:paraId="5A2CC3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5000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C1F10A0">
            <w:pPr>
              <w:spacing w:line="460" w:lineRule="exact"/>
              <w:jc w:val="center"/>
              <w:rPr>
                <w:rFonts w:hint="eastAsia" w:ascii="宋体" w:hAnsi="宋体" w:eastAsia="宋体" w:cs="宋体"/>
                <w:b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（一）价格部分（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30"/>
                <w:szCs w:val="3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eastAsia" w:ascii="宋体" w:hAnsi="宋体" w:eastAsia="宋体" w:cs="宋体"/>
                <w:b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分）</w:t>
            </w:r>
          </w:p>
        </w:tc>
      </w:tr>
      <w:tr w14:paraId="3DC8FA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6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8012716">
            <w:pPr>
              <w:spacing w:line="460" w:lineRule="exact"/>
              <w:jc w:val="center"/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评分点</w:t>
            </w:r>
          </w:p>
        </w:tc>
        <w:tc>
          <w:tcPr>
            <w:tcW w:w="3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3048920">
            <w:pPr>
              <w:spacing w:line="460" w:lineRule="exact"/>
              <w:ind w:firstLine="452" w:firstLineChars="150"/>
              <w:jc w:val="center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评审内容</w:t>
            </w:r>
          </w:p>
        </w:tc>
        <w:tc>
          <w:tcPr>
            <w:tcW w:w="3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59DEFAD">
            <w:pPr>
              <w:spacing w:line="460" w:lineRule="exact"/>
              <w:jc w:val="center"/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</w:tr>
      <w:tr w14:paraId="754CFAA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6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75043B1">
            <w:pPr>
              <w:spacing w:line="460" w:lineRule="exact"/>
              <w:jc w:val="center"/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报价</w:t>
            </w:r>
          </w:p>
        </w:tc>
        <w:tc>
          <w:tcPr>
            <w:tcW w:w="3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7DF8359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40" w:lineRule="exact"/>
              <w:textAlignment w:val="baseline"/>
              <w:rPr>
                <w:rFonts w:hint="eastAsia" w:ascii="宋体" w:hAnsi="宋体" w:eastAsia="宋体" w:cs="宋体"/>
                <w:bCs/>
                <w:color w:val="auto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价格分采用低价优先法计算，即满足</w:t>
            </w:r>
            <w:r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采购需求</w:t>
            </w:r>
            <w:r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要求且价格最低的报价为</w:t>
            </w:r>
            <w:r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评审</w:t>
            </w:r>
            <w:r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基准价，其价格分为满分。其他投标人的价格分统一按下列公式计</w:t>
            </w:r>
            <w:r>
              <w:rPr>
                <w:rFonts w:hint="eastAsia" w:ascii="宋体" w:hAnsi="宋体" w:eastAsia="宋体" w:cs="宋体"/>
                <w:bCs/>
                <w:color w:val="auto"/>
                <w:sz w:val="30"/>
                <w:szCs w:val="30"/>
              </w:rPr>
              <w:t>算：</w:t>
            </w:r>
          </w:p>
          <w:p w14:paraId="7DFED33F">
            <w:pPr>
              <w:keepNext w:val="0"/>
              <w:keepLines w:val="0"/>
              <w:pageBreakBefore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40" w:lineRule="exact"/>
              <w:textAlignment w:val="baseline"/>
              <w:rPr>
                <w:rFonts w:hint="default" w:ascii="宋体" w:hAnsi="宋体" w:eastAsia="宋体" w:cs="宋体"/>
                <w:bCs/>
                <w:color w:val="000000" w:themeColor="text1"/>
                <w:sz w:val="30"/>
                <w:szCs w:val="30"/>
                <w:lang w:val="en-US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30"/>
                <w:szCs w:val="30"/>
              </w:rPr>
              <w:t>投标报价得分=（评标基准价/投标报价）×</w:t>
            </w:r>
            <w:r>
              <w:rPr>
                <w:rFonts w:hint="eastAsia" w:ascii="宋体" w:hAnsi="宋体" w:eastAsia="宋体" w:cs="宋体"/>
                <w:bCs/>
                <w:color w:val="auto"/>
                <w:sz w:val="30"/>
                <w:szCs w:val="30"/>
                <w:lang w:val="en-US" w:eastAsia="zh-CN"/>
              </w:rPr>
              <w:t>8</w:t>
            </w:r>
          </w:p>
        </w:tc>
        <w:tc>
          <w:tcPr>
            <w:tcW w:w="3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154E91D">
            <w:pPr>
              <w:spacing w:line="460" w:lineRule="exact"/>
              <w:jc w:val="center"/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  <w:r>
              <w:rPr>
                <w:rFonts w:hint="eastAsia" w:ascii="宋体" w:hAnsi="宋体" w:eastAsia="宋体" w:cs="宋体"/>
                <w:bCs/>
                <w:color w:val="000000" w:themeColor="text1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分</w:t>
            </w:r>
          </w:p>
        </w:tc>
      </w:tr>
      <w:tr w14:paraId="3720AD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5000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333D18">
            <w:pPr>
              <w:spacing w:line="460" w:lineRule="exact"/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（二）技术部分（</w:t>
            </w:r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lang w:val="en-US" w:eastAsia="zh-CN"/>
              </w:rPr>
              <w:t>14</w:t>
            </w: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分）</w:t>
            </w:r>
          </w:p>
        </w:tc>
      </w:tr>
      <w:tr w14:paraId="2C68F7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6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0CB0D3C">
            <w:pPr>
              <w:spacing w:line="460" w:lineRule="exact"/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评分点</w:t>
            </w:r>
          </w:p>
        </w:tc>
        <w:tc>
          <w:tcPr>
            <w:tcW w:w="3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0254CB39">
            <w:pPr>
              <w:spacing w:line="460" w:lineRule="exact"/>
              <w:ind w:firstLine="452" w:firstLineChars="150"/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评审内容</w:t>
            </w:r>
          </w:p>
        </w:tc>
        <w:tc>
          <w:tcPr>
            <w:tcW w:w="3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4C90CA4">
            <w:pPr>
              <w:spacing w:line="460" w:lineRule="exact"/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分值</w:t>
            </w:r>
          </w:p>
        </w:tc>
      </w:tr>
      <w:tr w14:paraId="771FAA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6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694CB486">
            <w:pPr>
              <w:spacing w:line="460" w:lineRule="exact"/>
              <w:jc w:val="center"/>
              <w:rPr>
                <w:rFonts w:hint="default" w:ascii="宋体" w:hAnsi="宋体" w:eastAsia="宋体" w:cs="宋体"/>
                <w:b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0"/>
                <w:szCs w:val="30"/>
                <w:lang w:val="en-US" w:eastAsia="zh-CN"/>
              </w:rPr>
              <w:t>技术要求</w:t>
            </w:r>
          </w:p>
        </w:tc>
        <w:tc>
          <w:tcPr>
            <w:tcW w:w="3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7F0863DB">
            <w:pPr>
              <w:spacing w:line="460" w:lineRule="exact"/>
              <w:jc w:val="left"/>
              <w:rPr>
                <w:rFonts w:hint="eastAsia" w:ascii="宋体" w:hAnsi="宋体" w:eastAsia="宋体" w:cs="宋体"/>
                <w:b w:val="0"/>
                <w:bCs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30"/>
                <w:szCs w:val="30"/>
                <w:lang w:val="en-US" w:eastAsia="zh-CN"/>
              </w:rPr>
              <w:t>供应商须完全满足公告项目内容中的服务需求；任意一项不满足作无效响应处理。</w:t>
            </w:r>
          </w:p>
          <w:p w14:paraId="27C9724D"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  <w:highlight w:val="none"/>
                <w:lang w:val="en-US" w:eastAsia="zh-CN"/>
              </w:rPr>
              <w:t>评审依据：响应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  <w:highlight w:val="none"/>
              </w:rPr>
              <w:t>文件中</w:t>
            </w:r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highlight w:val="none"/>
              </w:rPr>
              <w:t>提供承诺函并加盖公章。</w:t>
            </w:r>
          </w:p>
        </w:tc>
        <w:tc>
          <w:tcPr>
            <w:tcW w:w="3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4A4D7BE5">
            <w:pPr>
              <w:spacing w:line="460" w:lineRule="exact"/>
              <w:jc w:val="center"/>
              <w:rPr>
                <w:rFonts w:hint="default" w:ascii="宋体" w:hAnsi="宋体" w:eastAsia="宋体" w:cs="宋体"/>
                <w:b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  <w:lang w:val="en-US" w:eastAsia="zh-CN"/>
              </w:rPr>
              <w:t>/</w:t>
            </w:r>
          </w:p>
        </w:tc>
      </w:tr>
      <w:tr w14:paraId="12B1F0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636" w:type="pct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0850A3FF">
            <w:pPr>
              <w:spacing w:line="460" w:lineRule="exact"/>
              <w:jc w:val="center"/>
              <w:rPr>
                <w:rFonts w:hint="eastAsia" w:ascii="宋体" w:hAnsi="宋体" w:eastAsia="宋体" w:cs="宋体"/>
                <w:bCs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z w:val="30"/>
                <w:szCs w:val="30"/>
                <w:lang w:val="en-US" w:eastAsia="zh-CN"/>
              </w:rPr>
              <w:t>技术指标加分</w:t>
            </w:r>
          </w:p>
        </w:tc>
        <w:tc>
          <w:tcPr>
            <w:tcW w:w="3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 w14:paraId="4D7F9571">
            <w:pPr>
              <w:pStyle w:val="2"/>
              <w:numPr>
                <w:ilvl w:val="0"/>
                <w:numId w:val="0"/>
              </w:numPr>
              <w:rPr>
                <w:rFonts w:hint="default" w:eastAsia="仿宋"/>
                <w:sz w:val="30"/>
                <w:szCs w:val="30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lang w:val="en-US" w:eastAsia="zh-CN"/>
              </w:rPr>
              <w:t>1、</w:t>
            </w:r>
            <w:r>
              <w:rPr>
                <w:rFonts w:hint="eastAsia"/>
                <w:sz w:val="30"/>
                <w:szCs w:val="30"/>
              </w:rPr>
              <w:t>更换冷头时，液氦消耗量≤</w:t>
            </w:r>
            <w:r>
              <w:rPr>
                <w:rFonts w:hint="eastAsia"/>
                <w:sz w:val="30"/>
                <w:szCs w:val="30"/>
                <w:lang w:val="en-US" w:eastAsia="zh-CN"/>
              </w:rPr>
              <w:t>2</w:t>
            </w:r>
            <w:r>
              <w:rPr>
                <w:rFonts w:hint="eastAsia"/>
                <w:sz w:val="30"/>
                <w:szCs w:val="30"/>
              </w:rPr>
              <w:t>%（同等压力下）</w:t>
            </w:r>
            <w:r>
              <w:rPr>
                <w:rFonts w:hint="eastAsia"/>
                <w:sz w:val="30"/>
                <w:szCs w:val="30"/>
                <w:lang w:eastAsia="zh-CN"/>
              </w:rPr>
              <w:t>得</w:t>
            </w:r>
            <w:r>
              <w:rPr>
                <w:rFonts w:hint="eastAsia"/>
                <w:sz w:val="30"/>
                <w:szCs w:val="30"/>
                <w:lang w:val="en-US" w:eastAsia="zh-CN"/>
              </w:rPr>
              <w:t>3.5分；</w:t>
            </w:r>
            <w:r>
              <w:rPr>
                <w:rFonts w:hint="eastAsia"/>
                <w:sz w:val="30"/>
                <w:szCs w:val="30"/>
              </w:rPr>
              <w:t>液氦消耗量≤</w:t>
            </w:r>
            <w:r>
              <w:rPr>
                <w:rFonts w:hint="eastAsia"/>
                <w:sz w:val="30"/>
                <w:szCs w:val="30"/>
                <w:lang w:val="en-US" w:eastAsia="zh-CN"/>
              </w:rPr>
              <w:t>1</w:t>
            </w:r>
            <w:r>
              <w:rPr>
                <w:rFonts w:hint="eastAsia"/>
                <w:sz w:val="30"/>
                <w:szCs w:val="30"/>
              </w:rPr>
              <w:t>%（同等压力下）</w:t>
            </w:r>
            <w:r>
              <w:rPr>
                <w:rFonts w:hint="eastAsia"/>
                <w:sz w:val="30"/>
                <w:szCs w:val="30"/>
                <w:lang w:eastAsia="zh-CN"/>
              </w:rPr>
              <w:t>得</w:t>
            </w:r>
            <w:r>
              <w:rPr>
                <w:rFonts w:hint="eastAsia"/>
                <w:sz w:val="30"/>
                <w:szCs w:val="30"/>
                <w:lang w:val="en-US" w:eastAsia="zh-CN"/>
              </w:rPr>
              <w:t>7分。</w:t>
            </w:r>
          </w:p>
          <w:p w14:paraId="78E39485">
            <w:pPr>
              <w:pStyle w:val="30"/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80" w:lineRule="exact"/>
              <w:ind w:left="0" w:leftChars="0" w:firstLine="0" w:firstLineChars="0"/>
              <w:textAlignment w:val="baseline"/>
              <w:rPr>
                <w:rFonts w:hint="eastAsia" w:ascii="宋体" w:hAnsi="宋体" w:eastAsia="宋体" w:cs="宋体"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  <w:highlight w:val="none"/>
                <w:lang w:val="en-US" w:eastAsia="zh-CN"/>
              </w:rPr>
              <w:t>评审依据：响应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  <w:highlight w:val="none"/>
              </w:rPr>
              <w:t>文件中</w:t>
            </w:r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highlight w:val="none"/>
              </w:rPr>
              <w:t>提供承诺函并加盖公章。</w:t>
            </w:r>
          </w:p>
        </w:tc>
        <w:tc>
          <w:tcPr>
            <w:tcW w:w="3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A05E00C">
            <w:pPr>
              <w:spacing w:line="460" w:lineRule="exact"/>
              <w:jc w:val="center"/>
              <w:rPr>
                <w:rFonts w:hint="eastAsia" w:ascii="宋体" w:hAnsi="宋体" w:eastAsia="宋体" w:cs="宋体"/>
                <w:bCs/>
                <w:sz w:val="30"/>
                <w:szCs w:val="3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Cs/>
                <w:sz w:val="30"/>
                <w:szCs w:val="30"/>
                <w:lang w:val="en-US" w:eastAsia="zh-CN"/>
              </w:rPr>
              <w:t>7分</w:t>
            </w:r>
          </w:p>
        </w:tc>
      </w:tr>
      <w:tr w14:paraId="422E9D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636" w:type="pct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 w14:paraId="7EEDE774">
            <w:pPr>
              <w:spacing w:line="460" w:lineRule="exact"/>
              <w:jc w:val="center"/>
              <w:rPr>
                <w:rFonts w:hint="eastAsia" w:ascii="宋体" w:hAnsi="宋体" w:eastAsia="宋体" w:cs="宋体"/>
                <w:bCs/>
                <w:sz w:val="30"/>
                <w:szCs w:val="30"/>
                <w:lang w:val="en-US" w:eastAsia="zh-CN"/>
              </w:rPr>
            </w:pPr>
          </w:p>
        </w:tc>
        <w:tc>
          <w:tcPr>
            <w:tcW w:w="3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 w14:paraId="4114E93D">
            <w:pPr>
              <w:pStyle w:val="30"/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80" w:lineRule="exact"/>
              <w:textAlignment w:val="baseline"/>
              <w:rPr>
                <w:rFonts w:hint="eastAsia" w:ascii="宋体" w:hAnsi="宋体" w:eastAsia="宋体" w:cs="宋体"/>
                <w:color w:val="000000"/>
                <w:kern w:val="2"/>
                <w:sz w:val="30"/>
                <w:szCs w:val="30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000000"/>
                <w:kern w:val="2"/>
                <w:sz w:val="30"/>
                <w:szCs w:val="30"/>
                <w:lang w:val="en-US" w:eastAsia="zh-CN" w:bidi="ar-SA"/>
              </w:rPr>
              <w:t>2、冷头更换完成，且液氦压力稳</w:t>
            </w:r>
            <w:r>
              <w:rPr>
                <w:rFonts w:hint="eastAsia" w:ascii="宋体" w:hAnsi="宋体" w:eastAsia="宋体" w:cs="宋体"/>
                <w:color w:val="auto"/>
                <w:kern w:val="2"/>
                <w:sz w:val="30"/>
                <w:szCs w:val="30"/>
                <w:lang w:val="en-US" w:eastAsia="zh-CN" w:bidi="ar-SA"/>
              </w:rPr>
              <w:t>定后或7个自然日后（先到为准），在保修期内，液氦压力值≤设定压力值175%，得3.5分；在保修期内，液氦压力值≤设定压力值125%，</w:t>
            </w:r>
            <w:r>
              <w:rPr>
                <w:rFonts w:hint="eastAsia" w:ascii="宋体" w:hAnsi="宋体" w:eastAsia="宋体" w:cs="宋体"/>
                <w:color w:val="000000"/>
                <w:kern w:val="2"/>
                <w:sz w:val="30"/>
                <w:szCs w:val="30"/>
                <w:lang w:val="en-US" w:eastAsia="zh-CN" w:bidi="ar-SA"/>
              </w:rPr>
              <w:t>得7分；</w:t>
            </w:r>
          </w:p>
          <w:p w14:paraId="7F7CD5EB">
            <w:pPr>
              <w:spacing w:line="460" w:lineRule="exact"/>
              <w:rPr>
                <w:rFonts w:hint="eastAsia" w:ascii="宋体" w:hAnsi="宋体" w:eastAsia="宋体" w:cs="宋体"/>
                <w:bCs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  <w:highlight w:val="none"/>
                <w:lang w:val="en-US" w:eastAsia="zh-CN"/>
              </w:rPr>
              <w:t>评审依据：响应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  <w:highlight w:val="none"/>
              </w:rPr>
              <w:t>文件中</w:t>
            </w:r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highlight w:val="none"/>
              </w:rPr>
              <w:t>提供承诺函并加盖公章。</w:t>
            </w:r>
          </w:p>
        </w:tc>
        <w:tc>
          <w:tcPr>
            <w:tcW w:w="3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56C109B">
            <w:pPr>
              <w:spacing w:line="460" w:lineRule="exact"/>
              <w:jc w:val="center"/>
              <w:rPr>
                <w:rFonts w:hint="eastAsia" w:ascii="宋体" w:hAnsi="宋体" w:eastAsia="宋体" w:cs="宋体"/>
                <w:bCs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Cs/>
                <w:sz w:val="30"/>
                <w:szCs w:val="30"/>
                <w:lang w:val="en-US" w:eastAsia="zh-CN"/>
              </w:rPr>
              <w:t>7分</w:t>
            </w:r>
          </w:p>
        </w:tc>
      </w:tr>
      <w:tr w14:paraId="4E026B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5000" w:type="pct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C383D13">
            <w:pPr>
              <w:spacing w:line="460" w:lineRule="exact"/>
              <w:jc w:val="center"/>
              <w:rPr>
                <w:rFonts w:hint="eastAsia" w:ascii="宋体" w:hAnsi="宋体" w:eastAsia="宋体" w:cs="宋体"/>
                <w:b/>
                <w:color w:val="FF000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（三）商务部分（</w:t>
            </w:r>
            <w:r>
              <w:rPr>
                <w:rFonts w:hint="eastAsia" w:ascii="宋体" w:hAnsi="宋体" w:eastAsia="宋体" w:cs="宋体"/>
                <w:b/>
                <w:sz w:val="30"/>
                <w:szCs w:val="30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分）</w:t>
            </w:r>
          </w:p>
        </w:tc>
      </w:tr>
      <w:tr w14:paraId="1EF3DD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6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E7CA035">
            <w:pPr>
              <w:spacing w:line="460" w:lineRule="exact"/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评分点</w:t>
            </w:r>
          </w:p>
        </w:tc>
        <w:tc>
          <w:tcPr>
            <w:tcW w:w="3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1B960D0B">
            <w:pPr>
              <w:spacing w:line="460" w:lineRule="exact"/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评审内容</w:t>
            </w:r>
          </w:p>
        </w:tc>
        <w:tc>
          <w:tcPr>
            <w:tcW w:w="3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1F0B5E8">
            <w:pPr>
              <w:spacing w:line="460" w:lineRule="exact"/>
              <w:jc w:val="center"/>
              <w:rPr>
                <w:rFonts w:hint="eastAsia" w:ascii="宋体" w:hAnsi="宋体" w:eastAsia="宋体" w:cs="宋体"/>
                <w:b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sz w:val="30"/>
                <w:szCs w:val="30"/>
              </w:rPr>
              <w:t>分值</w:t>
            </w:r>
          </w:p>
        </w:tc>
      </w:tr>
      <w:tr w14:paraId="0EBF12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6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321B996B"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80" w:lineRule="exact"/>
              <w:ind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bCs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1"/>
                <w:sz w:val="30"/>
                <w:szCs w:val="30"/>
                <w:lang w:val="en-US" w:eastAsia="zh-CN" w:bidi="ar-SA"/>
              </w:rPr>
              <w:t>售后服务</w:t>
            </w:r>
          </w:p>
        </w:tc>
        <w:tc>
          <w:tcPr>
            <w:tcW w:w="3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top"/>
          </w:tcPr>
          <w:p w14:paraId="7319242F"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80" w:lineRule="exact"/>
              <w:ind w:firstLine="0" w:firstLineChars="0"/>
              <w:textAlignment w:val="baseline"/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val="en-US" w:eastAsia="zh-CN"/>
              </w:rPr>
              <w:t>供应商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</w:rPr>
              <w:t>承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eastAsia="zh-CN"/>
              </w:rPr>
              <w:t>诺在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eastAsia="zh-CN"/>
              </w:rPr>
              <w:t>年的质保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</w:rPr>
              <w:t>期基础上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eastAsia="zh-CN"/>
              </w:rPr>
              <w:t>，每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</w:rPr>
              <w:t>增加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val="en-US" w:eastAsia="zh-CN"/>
              </w:rPr>
              <w:t>0.5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</w:rPr>
              <w:t>年得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</w:rPr>
              <w:t>分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eastAsia="zh-CN"/>
              </w:rPr>
              <w:t>，最高得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val="en-US" w:eastAsia="zh-CN"/>
              </w:rPr>
              <w:t>4分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</w:rPr>
              <w:t>。</w:t>
            </w:r>
          </w:p>
          <w:p w14:paraId="66335BE4"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80" w:lineRule="exact"/>
              <w:ind w:firstLine="0" w:firstLineChars="0"/>
              <w:textAlignment w:val="baseline"/>
              <w:rPr>
                <w:rFonts w:hint="eastAsia" w:ascii="宋体" w:hAnsi="宋体" w:eastAsia="宋体" w:cs="宋体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highlight w:val="none"/>
              </w:rPr>
              <w:t>评审依据：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  <w:highlight w:val="none"/>
                <w:lang w:val="en-US" w:eastAsia="zh-CN"/>
              </w:rPr>
              <w:t>响应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  <w:highlight w:val="none"/>
              </w:rPr>
              <w:t>文件中</w:t>
            </w:r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highlight w:val="none"/>
              </w:rPr>
              <w:t>提供</w:t>
            </w:r>
            <w:bookmarkStart w:id="0" w:name="_GoBack"/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highlight w:val="none"/>
              </w:rPr>
              <w:t>承诺函</w:t>
            </w:r>
            <w:bookmarkEnd w:id="0"/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highlight w:val="none"/>
              </w:rPr>
              <w:t>并加盖公章。</w:t>
            </w:r>
          </w:p>
        </w:tc>
        <w:tc>
          <w:tcPr>
            <w:tcW w:w="3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B4C5E20">
            <w:pPr>
              <w:keepNext w:val="0"/>
              <w:keepLines w:val="0"/>
              <w:pageBreakBefore w:val="0"/>
              <w:widowControl/>
              <w:kinsoku/>
              <w:wordWrap w:val="0"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80" w:lineRule="exact"/>
              <w:ind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bCs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val="en-US" w:eastAsia="zh-CN"/>
              </w:rPr>
              <w:t>4</w:t>
            </w: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</w:rPr>
              <w:t>分</w:t>
            </w:r>
          </w:p>
        </w:tc>
      </w:tr>
      <w:tr w14:paraId="32CA4A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636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294811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60" w:lineRule="exact"/>
              <w:jc w:val="center"/>
              <w:textAlignment w:val="baseline"/>
              <w:rPr>
                <w:rFonts w:hint="eastAsia" w:ascii="宋体" w:hAnsi="宋体" w:eastAsia="宋体" w:cs="宋体"/>
                <w:bCs/>
                <w:sz w:val="30"/>
                <w:szCs w:val="30"/>
                <w:lang w:eastAsia="zh-CN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1"/>
                <w:kern w:val="0"/>
                <w:sz w:val="30"/>
                <w:szCs w:val="30"/>
                <w:lang w:val="en-US" w:eastAsia="zh-CN" w:bidi="ar"/>
              </w:rPr>
              <w:t>业绩</w:t>
            </w:r>
          </w:p>
        </w:tc>
        <w:tc>
          <w:tcPr>
            <w:tcW w:w="3969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top"/>
          </w:tcPr>
          <w:p w14:paraId="2B291E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60" w:lineRule="exact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spacing w:val="-1"/>
                <w:kern w:val="0"/>
                <w:sz w:val="30"/>
                <w:szCs w:val="3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auto"/>
                <w:sz w:val="30"/>
                <w:szCs w:val="30"/>
                <w:highlight w:val="none"/>
                <w:lang w:val="en-US" w:eastAsia="zh-CN"/>
              </w:rPr>
              <w:t>供应商</w:t>
            </w:r>
            <w:r>
              <w:rPr>
                <w:rFonts w:hint="eastAsia" w:ascii="宋体" w:hAnsi="宋体" w:eastAsia="宋体" w:cs="宋体"/>
                <w:snapToGrid w:val="0"/>
                <w:color w:val="auto"/>
                <w:spacing w:val="-1"/>
                <w:kern w:val="0"/>
                <w:sz w:val="30"/>
                <w:szCs w:val="30"/>
                <w:highlight w:val="none"/>
                <w:lang w:val="en-US" w:eastAsia="zh-CN" w:bidi="ar"/>
              </w:rPr>
              <w:t>自2023年1月1日至今（以合同签订时间为准）具有冷头更换维修的业绩，每提供1份业绩得2分，最高得4分。</w:t>
            </w:r>
          </w:p>
          <w:p w14:paraId="186CDC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60" w:lineRule="exact"/>
              <w:jc w:val="left"/>
              <w:textAlignment w:val="baseline"/>
              <w:rPr>
                <w:rFonts w:hint="eastAsia" w:ascii="宋体" w:hAnsi="宋体" w:eastAsia="宋体" w:cs="宋体"/>
                <w:bCs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snapToGrid w:val="0"/>
                <w:color w:val="auto"/>
                <w:spacing w:val="-1"/>
                <w:kern w:val="0"/>
                <w:sz w:val="30"/>
                <w:szCs w:val="30"/>
                <w:highlight w:val="none"/>
                <w:lang w:val="en-US" w:eastAsia="zh-CN" w:bidi="ar"/>
              </w:rPr>
              <w:t>评审依据：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  <w:highlight w:val="none"/>
                <w:lang w:val="en-US" w:eastAsia="zh-CN"/>
              </w:rPr>
              <w:t>响应</w:t>
            </w:r>
            <w:r>
              <w:rPr>
                <w:rFonts w:hint="eastAsia" w:ascii="宋体" w:hAnsi="宋体" w:eastAsia="宋体" w:cs="宋体"/>
                <w:b/>
                <w:bCs/>
                <w:color w:val="auto"/>
                <w:sz w:val="30"/>
                <w:szCs w:val="30"/>
                <w:highlight w:val="none"/>
              </w:rPr>
              <w:t>文件中</w:t>
            </w:r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highlight w:val="none"/>
              </w:rPr>
              <w:t>提供</w:t>
            </w:r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highlight w:val="none"/>
                <w:lang w:val="en-US" w:eastAsia="zh-CN"/>
              </w:rPr>
              <w:t>合同复印件</w:t>
            </w:r>
            <w:r>
              <w:rPr>
                <w:rFonts w:hint="eastAsia" w:ascii="宋体" w:hAnsi="宋体" w:eastAsia="宋体" w:cs="宋体"/>
                <w:b/>
                <w:color w:val="auto"/>
                <w:sz w:val="30"/>
                <w:szCs w:val="30"/>
                <w:highlight w:val="none"/>
              </w:rPr>
              <w:t>并加盖公章。</w:t>
            </w:r>
          </w:p>
        </w:tc>
        <w:tc>
          <w:tcPr>
            <w:tcW w:w="39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 w14:paraId="5292F82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60" w:lineRule="exact"/>
              <w:jc w:val="center"/>
              <w:textAlignment w:val="baseline"/>
              <w:rPr>
                <w:rFonts w:hint="eastAsia" w:ascii="宋体" w:hAnsi="宋体" w:eastAsia="宋体" w:cs="宋体"/>
                <w:bCs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Cs/>
                <w:color w:val="auto"/>
                <w:sz w:val="30"/>
                <w:szCs w:val="30"/>
                <w:highlight w:val="none"/>
                <w:lang w:val="en-US" w:eastAsia="zh-CN"/>
              </w:rPr>
              <w:t>4分</w:t>
            </w:r>
          </w:p>
        </w:tc>
      </w:tr>
    </w:tbl>
    <w:p w14:paraId="6284F72F">
      <w:pPr>
        <w:rPr>
          <w:rFonts w:hint="eastAsia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6E86"/>
    <w:rsid w:val="002626E9"/>
    <w:rsid w:val="002777F0"/>
    <w:rsid w:val="00374803"/>
    <w:rsid w:val="00591DC3"/>
    <w:rsid w:val="00915A06"/>
    <w:rsid w:val="0092624E"/>
    <w:rsid w:val="009747F5"/>
    <w:rsid w:val="00A722D9"/>
    <w:rsid w:val="00A947AC"/>
    <w:rsid w:val="00AA5853"/>
    <w:rsid w:val="00B86E86"/>
    <w:rsid w:val="00BD75A6"/>
    <w:rsid w:val="00D85AB7"/>
    <w:rsid w:val="00DB1F52"/>
    <w:rsid w:val="00DC4CEB"/>
    <w:rsid w:val="00DE708E"/>
    <w:rsid w:val="00E321A0"/>
    <w:rsid w:val="00EB4F2E"/>
    <w:rsid w:val="00EE31E2"/>
    <w:rsid w:val="00F00BCA"/>
    <w:rsid w:val="00F34A36"/>
    <w:rsid w:val="025C5CB3"/>
    <w:rsid w:val="123D6A44"/>
    <w:rsid w:val="154C4F1A"/>
    <w:rsid w:val="1585042C"/>
    <w:rsid w:val="178169D1"/>
    <w:rsid w:val="1F502EE4"/>
    <w:rsid w:val="24855D52"/>
    <w:rsid w:val="2E2C6482"/>
    <w:rsid w:val="31AC678A"/>
    <w:rsid w:val="32F43E3A"/>
    <w:rsid w:val="34B26368"/>
    <w:rsid w:val="37A20571"/>
    <w:rsid w:val="39D64915"/>
    <w:rsid w:val="3E12166E"/>
    <w:rsid w:val="478C7274"/>
    <w:rsid w:val="48834C9A"/>
    <w:rsid w:val="4CDB0356"/>
    <w:rsid w:val="6A931074"/>
    <w:rsid w:val="6E8421A4"/>
    <w:rsid w:val="73BA21C4"/>
    <w:rsid w:val="7411243D"/>
    <w:rsid w:val="7B780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nhideWhenUsed="0" w:uiPriority="0" w:semiHidden="0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1"/>
    <w:basedOn w:val="1"/>
    <w:next w:val="1"/>
    <w:link w:val="17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4">
    <w:name w:val="heading 2"/>
    <w:basedOn w:val="1"/>
    <w:next w:val="1"/>
    <w:link w:val="18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5">
    <w:name w:val="heading 3"/>
    <w:basedOn w:val="1"/>
    <w:next w:val="1"/>
    <w:link w:val="19"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6">
    <w:name w:val="heading 4"/>
    <w:basedOn w:val="1"/>
    <w:next w:val="1"/>
    <w:link w:val="20"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7">
    <w:name w:val="heading 5"/>
    <w:basedOn w:val="1"/>
    <w:next w:val="1"/>
    <w:link w:val="21"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  <w:szCs w:val="24"/>
    </w:rPr>
  </w:style>
  <w:style w:type="paragraph" w:styleId="8">
    <w:name w:val="heading 6"/>
    <w:basedOn w:val="1"/>
    <w:next w:val="1"/>
    <w:link w:val="22"/>
    <w:semiHidden/>
    <w:unhideWhenUsed/>
    <w:qFormat/>
    <w:uiPriority w:val="9"/>
    <w:pPr>
      <w:keepNext/>
      <w:keepLines/>
      <w:spacing w:before="40"/>
      <w:outlineLvl w:val="5"/>
    </w:pPr>
    <w:rPr>
      <w:rFonts w:cstheme="majorBidi"/>
      <w:b/>
      <w:bCs/>
      <w:color w:val="104862" w:themeColor="accent1" w:themeShade="BF"/>
    </w:rPr>
  </w:style>
  <w:style w:type="paragraph" w:styleId="9">
    <w:name w:val="heading 7"/>
    <w:basedOn w:val="1"/>
    <w:next w:val="1"/>
    <w:link w:val="23"/>
    <w:semiHidden/>
    <w:unhideWhenUsed/>
    <w:qFormat/>
    <w:uiPriority w:val="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8"/>
    <w:basedOn w:val="1"/>
    <w:next w:val="1"/>
    <w:link w:val="24"/>
    <w:semiHidden/>
    <w:unhideWhenUsed/>
    <w:qFormat/>
    <w:uiPriority w:val="9"/>
    <w:pPr>
      <w:keepNext/>
      <w:keepLines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1">
    <w:name w:val="heading 9"/>
    <w:basedOn w:val="1"/>
    <w:next w:val="1"/>
    <w:link w:val="25"/>
    <w:semiHidden/>
    <w:unhideWhenUsed/>
    <w:qFormat/>
    <w:uiPriority w:val="9"/>
    <w:pPr>
      <w:keepNext/>
      <w:keepLines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rPr>
      <w:rFonts w:ascii="仿宋" w:hAnsi="仿宋" w:eastAsia="仿宋" w:cs="仿宋"/>
      <w:sz w:val="30"/>
      <w:szCs w:val="30"/>
    </w:rPr>
  </w:style>
  <w:style w:type="paragraph" w:styleId="12">
    <w:name w:val="annotation text"/>
    <w:basedOn w:val="1"/>
    <w:qFormat/>
    <w:uiPriority w:val="0"/>
  </w:style>
  <w:style w:type="paragraph" w:styleId="13">
    <w:name w:val="Subtitle"/>
    <w:basedOn w:val="1"/>
    <w:next w:val="1"/>
    <w:link w:val="27"/>
    <w:qFormat/>
    <w:uiPriority w:val="11"/>
    <w:pPr>
      <w:spacing w:after="160"/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4">
    <w:name w:val="Title"/>
    <w:basedOn w:val="1"/>
    <w:next w:val="1"/>
    <w:link w:val="26"/>
    <w:qFormat/>
    <w:uiPriority w:val="10"/>
    <w:pPr>
      <w:spacing w:after="80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17">
    <w:name w:val="标题 1 字符"/>
    <w:basedOn w:val="16"/>
    <w:link w:val="3"/>
    <w:qFormat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18">
    <w:name w:val="标题 2 字符"/>
    <w:basedOn w:val="16"/>
    <w:link w:val="4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19">
    <w:name w:val="标题 3 字符"/>
    <w:basedOn w:val="16"/>
    <w:link w:val="5"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0">
    <w:name w:val="标题 4 字符"/>
    <w:basedOn w:val="16"/>
    <w:link w:val="6"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1">
    <w:name w:val="标题 5 字符"/>
    <w:basedOn w:val="16"/>
    <w:link w:val="7"/>
    <w:semiHidden/>
    <w:qFormat/>
    <w:uiPriority w:val="9"/>
    <w:rPr>
      <w:rFonts w:cstheme="majorBidi"/>
      <w:color w:val="104862" w:themeColor="accent1" w:themeShade="BF"/>
      <w:sz w:val="24"/>
      <w:szCs w:val="24"/>
    </w:rPr>
  </w:style>
  <w:style w:type="character" w:customStyle="1" w:styleId="22">
    <w:name w:val="标题 6 字符"/>
    <w:basedOn w:val="16"/>
    <w:link w:val="8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23">
    <w:name w:val="标题 7 字符"/>
    <w:basedOn w:val="16"/>
    <w:link w:val="9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4">
    <w:name w:val="标题 8 字符"/>
    <w:basedOn w:val="16"/>
    <w:link w:val="10"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5">
    <w:name w:val="标题 9 字符"/>
    <w:basedOn w:val="16"/>
    <w:link w:val="11"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标题 字符"/>
    <w:basedOn w:val="16"/>
    <w:link w:val="14"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7">
    <w:name w:val="副标题 字符"/>
    <w:basedOn w:val="16"/>
    <w:link w:val="13"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28">
    <w:name w:val="Quote"/>
    <w:basedOn w:val="1"/>
    <w:next w:val="1"/>
    <w:link w:val="29"/>
    <w:qFormat/>
    <w:uiPriority w:val="29"/>
    <w:pPr>
      <w:spacing w:before="160" w:after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29">
    <w:name w:val="引用 字符"/>
    <w:basedOn w:val="16"/>
    <w:link w:val="28"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0">
    <w:name w:val="List Paragraph"/>
    <w:basedOn w:val="1"/>
    <w:qFormat/>
    <w:uiPriority w:val="34"/>
    <w:pPr>
      <w:ind w:left="720"/>
      <w:contextualSpacing/>
    </w:pPr>
  </w:style>
  <w:style w:type="character" w:customStyle="1" w:styleId="31">
    <w:name w:val="Intense Emphasis"/>
    <w:basedOn w:val="16"/>
    <w:qFormat/>
    <w:uiPriority w:val="21"/>
    <w:rPr>
      <w:i/>
      <w:iCs/>
      <w:color w:val="104862" w:themeColor="accent1" w:themeShade="BF"/>
    </w:rPr>
  </w:style>
  <w:style w:type="paragraph" w:styleId="32">
    <w:name w:val="Intense Quote"/>
    <w:basedOn w:val="1"/>
    <w:next w:val="1"/>
    <w:link w:val="33"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3">
    <w:name w:val="明显引用 字符"/>
    <w:basedOn w:val="16"/>
    <w:link w:val="32"/>
    <w:qFormat/>
    <w:uiPriority w:val="30"/>
    <w:rPr>
      <w:i/>
      <w:iCs/>
      <w:color w:val="104862" w:themeColor="accent1" w:themeShade="BF"/>
    </w:rPr>
  </w:style>
  <w:style w:type="character" w:customStyle="1" w:styleId="34">
    <w:name w:val="Intense Reference"/>
    <w:basedOn w:val="16"/>
    <w:qFormat/>
    <w:uiPriority w:val="32"/>
    <w:rPr>
      <w:b/>
      <w:bCs/>
      <w:smallCaps/>
      <w:color w:val="104862" w:themeColor="accent1" w:themeShade="BF"/>
      <w:spacing w:val="5"/>
    </w:rPr>
  </w:style>
  <w:style w:type="paragraph" w:customStyle="1" w:styleId="35">
    <w:name w:val="无间隔1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626</Words>
  <Characters>646</Characters>
  <Lines>9</Lines>
  <Paragraphs>11</Paragraphs>
  <TotalTime>3</TotalTime>
  <ScaleCrop>false</ScaleCrop>
  <LinksUpToDate>false</LinksUpToDate>
  <CharactersWithSpaces>646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2025-04-25T09:17:00Z</dcterms:created>
  <dc:creator>xun zhang</dc:creator>
  <cp:lastModifiedBy>Starmien</cp:lastModifiedBy>
  <dcterms:modified xsi:type="dcterms:W3CDTF">2025-05-09T02:31:41Z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eyJoZGlkIjoiNmI5MDQwZmU5ZWUyY2YyOWY5YTFmZDIyMzRkYzFhMGMiLCJ1c2VySWQiOiI0NDUxMDU0OTUifQ==</vt:lpwstr>
  </property>
  <property fmtid="{D5CDD505-2E9C-101B-9397-08002B2CF9AE}" pid="3" name="KSOProductBuildVer">
    <vt:lpwstr>2052-12.1.0.20784</vt:lpwstr>
  </property>
  <property fmtid="{D5CDD505-2E9C-101B-9397-08002B2CF9AE}" pid="4" name="ICV">
    <vt:lpwstr>FE67D69B70AA42E69AAAC232B3D40624_12</vt:lpwstr>
  </property>
</Properties>
</file>